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E4A6" w14:textId="559249DE" w:rsidR="006F6010" w:rsidRPr="006F6010" w:rsidRDefault="006F601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F6010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0934F83" w:rsidR="00190666" w:rsidRPr="006F6010" w:rsidRDefault="006F601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F6010">
        <w:rPr>
          <w:rFonts w:ascii="Arial" w:hAnsi="Arial" w:cs="Arial"/>
          <w:b/>
          <w:color w:val="828282"/>
          <w:sz w:val="28"/>
          <w:szCs w:val="28"/>
        </w:rPr>
        <w:t>CHACHAPOYAS COMPLETO</w:t>
      </w:r>
    </w:p>
    <w:p w14:paraId="20AF5740" w14:textId="05976C53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41189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A41189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2B7C8AE2" w:rsidR="00190666" w:rsidRPr="006F6010" w:rsidRDefault="006F6010" w:rsidP="00A5128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6F6010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781EED1F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- hotel –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 en servicio compartido.</w:t>
      </w:r>
    </w:p>
    <w:p w14:paraId="43050CA5" w14:textId="7199CF56" w:rsidR="00A20C58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A41189">
        <w:rPr>
          <w:rFonts w:ascii="Arial" w:hAnsi="Arial" w:cs="Arial"/>
          <w:color w:val="828282"/>
          <w:sz w:val="18"/>
          <w:szCs w:val="18"/>
        </w:rPr>
        <w:t>4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</w:p>
    <w:p w14:paraId="61F68A4A" w14:textId="28D08378" w:rsidR="002664D4" w:rsidRPr="002664D4" w:rsidRDefault="002664D4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</w:rPr>
        <w:t xml:space="preserve">Tours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en servicio </w:t>
      </w:r>
      <w:r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regular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>compartido</w:t>
      </w:r>
    </w:p>
    <w:p w14:paraId="6479172A" w14:textId="699F7D2A" w:rsidR="00A20C58" w:rsidRPr="002664D4" w:rsidRDefault="009214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Full Day a 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las 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>Catarata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>s de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  <w:lang w:val="es-PE"/>
        </w:rPr>
        <w:t>Gocta</w:t>
      </w:r>
      <w:proofErr w:type="spellEnd"/>
      <w:r w:rsidR="00C07365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</w:t>
      </w:r>
    </w:p>
    <w:p w14:paraId="4F74625F" w14:textId="7913CDE5" w:rsidR="00921472" w:rsidRDefault="009214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921472">
        <w:rPr>
          <w:rFonts w:ascii="Arial" w:hAnsi="Arial" w:cs="Arial"/>
          <w:color w:val="828282"/>
          <w:sz w:val="18"/>
          <w:szCs w:val="18"/>
          <w:lang w:val="es-PE"/>
        </w:rPr>
        <w:t xml:space="preserve">Full Day Ciudadela Fortificada de </w:t>
      </w:r>
      <w:proofErr w:type="spellStart"/>
      <w:r>
        <w:rPr>
          <w:rFonts w:ascii="Arial" w:hAnsi="Arial" w:cs="Arial"/>
          <w:color w:val="828282"/>
          <w:sz w:val="18"/>
          <w:szCs w:val="18"/>
          <w:lang w:val="es-PE"/>
        </w:rPr>
        <w:t>Kuelap</w:t>
      </w:r>
      <w:proofErr w:type="spellEnd"/>
      <w:r w:rsidR="00C07365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</w:t>
      </w:r>
    </w:p>
    <w:p w14:paraId="30398FE9" w14:textId="3DB82432" w:rsidR="00E8573C" w:rsidRPr="00E8573C" w:rsidRDefault="00E85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E8573C">
        <w:rPr>
          <w:rFonts w:ascii="Arial" w:hAnsi="Arial" w:cs="Arial"/>
          <w:color w:val="828282"/>
          <w:sz w:val="18"/>
          <w:szCs w:val="18"/>
          <w:lang w:val="es-PE"/>
        </w:rPr>
        <w:t xml:space="preserve">Full Day Sarcófagos de </w:t>
      </w:r>
      <w:proofErr w:type="spellStart"/>
      <w:r w:rsidR="00C07365" w:rsidRPr="00E8573C">
        <w:rPr>
          <w:rFonts w:ascii="Arial" w:hAnsi="Arial" w:cs="Arial"/>
          <w:color w:val="828282"/>
          <w:sz w:val="18"/>
          <w:szCs w:val="18"/>
          <w:lang w:val="es-PE"/>
        </w:rPr>
        <w:t>Karajía</w:t>
      </w:r>
      <w:proofErr w:type="spellEnd"/>
      <w:r w:rsidRPr="00E8573C">
        <w:rPr>
          <w:rFonts w:ascii="Arial" w:hAnsi="Arial" w:cs="Arial"/>
          <w:color w:val="828282"/>
          <w:sz w:val="18"/>
          <w:szCs w:val="18"/>
          <w:lang w:val="es-PE"/>
        </w:rPr>
        <w:t xml:space="preserve"> y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 Cavernas de </w:t>
      </w:r>
      <w:proofErr w:type="spellStart"/>
      <w:r>
        <w:rPr>
          <w:rFonts w:ascii="Arial" w:hAnsi="Arial" w:cs="Arial"/>
          <w:color w:val="828282"/>
          <w:sz w:val="18"/>
          <w:szCs w:val="18"/>
          <w:lang w:val="es-PE"/>
        </w:rPr>
        <w:t>Quiocta</w:t>
      </w:r>
      <w:proofErr w:type="spellEnd"/>
      <w:r w:rsidR="00C07365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</w:t>
      </w:r>
    </w:p>
    <w:p w14:paraId="1DEE9DF6" w14:textId="402B760C" w:rsidR="006D4289" w:rsidRPr="00921472" w:rsidRDefault="002664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>Guiado en inglés y español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68229C8" w14:textId="177CCA88" w:rsidR="006F6010" w:rsidRDefault="006F6010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63E8D6B8" w:rsidR="006928CE" w:rsidRDefault="00190666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921472">
        <w:rPr>
          <w:rFonts w:ascii="Arial" w:hAnsi="Arial" w:cs="Arial"/>
          <w:b/>
          <w:bCs/>
          <w:color w:val="818181"/>
          <w:sz w:val="18"/>
          <w:szCs w:val="18"/>
        </w:rPr>
        <w:t>Chachapoyas</w:t>
      </w:r>
    </w:p>
    <w:p w14:paraId="26FE0F0F" w14:textId="55487B9F" w:rsidR="006928CE" w:rsidRDefault="006928CE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921472">
        <w:rPr>
          <w:rFonts w:ascii="Arial" w:hAnsi="Arial" w:cs="Arial"/>
          <w:color w:val="828282"/>
          <w:sz w:val="18"/>
          <w:szCs w:val="18"/>
        </w:rPr>
        <w:t xml:space="preserve">Chachapoyas 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y traslado al hotel elegido. </w:t>
      </w:r>
    </w:p>
    <w:p w14:paraId="08216DF6" w14:textId="3BE3A357" w:rsidR="00190666" w:rsidRPr="0087751D" w:rsidRDefault="00190666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00937F6" w14:textId="6D956A53" w:rsidR="00190666" w:rsidRPr="002664D4" w:rsidRDefault="00190666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2664D4" w:rsidRPr="002664D4">
        <w:rPr>
          <w:rFonts w:ascii="Arial" w:hAnsi="Arial" w:cs="Arial"/>
          <w:b/>
          <w:bCs/>
          <w:color w:val="828282"/>
          <w:sz w:val="18"/>
          <w:szCs w:val="18"/>
        </w:rPr>
        <w:t>Full Day a las Cata</w:t>
      </w:r>
      <w:r w:rsid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ratas de </w:t>
      </w:r>
      <w:proofErr w:type="spellStart"/>
      <w:r w:rsidR="002664D4">
        <w:rPr>
          <w:rFonts w:ascii="Arial" w:hAnsi="Arial" w:cs="Arial"/>
          <w:b/>
          <w:bCs/>
          <w:color w:val="828282"/>
          <w:sz w:val="18"/>
          <w:szCs w:val="18"/>
        </w:rPr>
        <w:t>Gocta</w:t>
      </w:r>
      <w:proofErr w:type="spellEnd"/>
    </w:p>
    <w:p w14:paraId="6CB49F66" w14:textId="77777777" w:rsidR="00190666" w:rsidRDefault="00190666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552A9D4" w14:textId="77777777" w:rsidR="002664D4" w:rsidRPr="002664D4" w:rsidRDefault="002664D4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Después del desayuno, los visitantes iniciarán el viaje hacia el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>, donde dará inicio una caminata de aproximadamente tres horas hasta llegar a las faldas de la catarata. El recorrido transcurre por estrechos senderos y caminos de trocha, rodeados de una gran diversidad de flora y fauna.</w:t>
      </w:r>
    </w:p>
    <w:p w14:paraId="2F4A0ECC" w14:textId="77777777" w:rsidR="002664D4" w:rsidRPr="002664D4" w:rsidRDefault="002664D4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Esta comarca ofrece una armoniosa combinación de geografía e historia, convirtiéndose en un destino de singular belleza y encanto. Al llegar a la catarata, los visitantes dispondrán de tiempo libre para tomar fotografías y disfrutar de un refrescante baño.</w:t>
      </w:r>
    </w:p>
    <w:p w14:paraId="05DF36D8" w14:textId="77777777" w:rsidR="002664D4" w:rsidRDefault="002664D4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Posteriormente, se realizará la caminata de retorno al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 xml:space="preserve">, donde se ofrecerá el almuerzo. </w:t>
      </w:r>
    </w:p>
    <w:p w14:paraId="3DBC6547" w14:textId="6A9E60EB" w:rsidR="002664D4" w:rsidRPr="006D4289" w:rsidRDefault="002664D4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Finalmente, se emprenderá el regreso a Chachapoyas para el pernocte.</w:t>
      </w:r>
    </w:p>
    <w:p w14:paraId="5B405F63" w14:textId="251A9171" w:rsidR="00190666" w:rsidRDefault="006928CE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36AA3EFC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3C3F1BB4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5C16A4ED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6BC1FE73" w14:textId="77777777" w:rsidR="005C3280" w:rsidRPr="006D4289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>Dificultad: Media / Alta</w:t>
      </w:r>
    </w:p>
    <w:p w14:paraId="750F8678" w14:textId="77777777" w:rsidR="006928CE" w:rsidRDefault="006928CE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347F18" w14:textId="29728904" w:rsidR="00A20C58" w:rsidRDefault="00A20C58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 w:rsidR="00A51283">
        <w:rPr>
          <w:rFonts w:ascii="Arial" w:hAnsi="Arial" w:cs="Arial"/>
          <w:b/>
          <w:bCs/>
          <w:color w:val="828282"/>
          <w:sz w:val="18"/>
          <w:szCs w:val="18"/>
        </w:rPr>
        <w:t xml:space="preserve">Full Day a la Ciudadela Fortificada de </w:t>
      </w:r>
      <w:proofErr w:type="spellStart"/>
      <w:r w:rsidR="00A51283">
        <w:rPr>
          <w:rFonts w:ascii="Arial" w:hAnsi="Arial" w:cs="Arial"/>
          <w:b/>
          <w:bCs/>
          <w:color w:val="828282"/>
          <w:sz w:val="18"/>
          <w:szCs w:val="18"/>
        </w:rPr>
        <w:t>Kuelap</w:t>
      </w:r>
      <w:proofErr w:type="spellEnd"/>
      <w:r w:rsidR="00A51283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</w:p>
    <w:p w14:paraId="72019872" w14:textId="29FF2E7A" w:rsidR="00A167B6" w:rsidRDefault="00A167B6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Desayuno en el hotel </w:t>
      </w:r>
    </w:p>
    <w:p w14:paraId="5E3C827F" w14:textId="4DBC5394" w:rsidR="00A51283" w:rsidRPr="00A51283" w:rsidRDefault="00A51283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 xml:space="preserve">A la hora indicada, los visitantes partirán hacia la ciudadela fortificada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 Tras un recorrido aproximado de una hora, llegarán al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>
        <w:rPr>
          <w:rFonts w:ascii="Arial" w:hAnsi="Arial" w:cs="Arial"/>
          <w:color w:val="828282"/>
          <w:sz w:val="18"/>
          <w:szCs w:val="18"/>
        </w:rPr>
        <w:t>p</w:t>
      </w:r>
      <w:r w:rsidRPr="00A51283">
        <w:rPr>
          <w:rFonts w:ascii="Arial" w:hAnsi="Arial" w:cs="Arial"/>
          <w:color w:val="828282"/>
          <w:sz w:val="18"/>
          <w:szCs w:val="18"/>
        </w:rPr>
        <w:t xml:space="preserve">oblado de Nuevo Tingo, donde abordarán el sistema de Telecabinas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 xml:space="preserve"> para realizar un viaje de aproximadamente 25 minutos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Pr="00A51283">
        <w:rPr>
          <w:rFonts w:ascii="Arial" w:hAnsi="Arial" w:cs="Arial"/>
          <w:color w:val="828282"/>
          <w:sz w:val="18"/>
          <w:szCs w:val="18"/>
        </w:rPr>
        <w:t xml:space="preserve">hasta la estación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Malcapampa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</w:t>
      </w:r>
    </w:p>
    <w:p w14:paraId="52671B00" w14:textId="59F6CD1E" w:rsidR="00A51283" w:rsidRDefault="00A51283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 xml:space="preserve">Desde este punto, iniciarán una caminata en ascenso de alrededor de 20 minutos hasta llegar al ingreso principal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 Durante la visita guiada, recorrerán los principales atractivos del complejo arqueológico, entre ellos los recintos ceremoniales, el Templo Mayor, las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Pr="00A51283">
        <w:rPr>
          <w:rFonts w:ascii="Arial" w:hAnsi="Arial" w:cs="Arial"/>
          <w:color w:val="828282"/>
          <w:sz w:val="18"/>
          <w:szCs w:val="18"/>
        </w:rPr>
        <w:t>viviendas circulares y otros espacios de gran valor histórico y cultural.</w:t>
      </w:r>
    </w:p>
    <w:p w14:paraId="64B2A47C" w14:textId="77777777" w:rsidR="006F6010" w:rsidRDefault="00A51283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>El recorrido tendrá una duración aproximada de tres horas. Posteriormente, los visitantes retornarán a Nuevo Tingo para disfrutar del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="00C07365">
        <w:rPr>
          <w:rFonts w:ascii="Arial" w:hAnsi="Arial" w:cs="Arial"/>
          <w:color w:val="828282"/>
          <w:sz w:val="18"/>
          <w:szCs w:val="18"/>
        </w:rPr>
        <w:t>a</w:t>
      </w:r>
      <w:r w:rsidRPr="00A51283">
        <w:rPr>
          <w:rFonts w:ascii="Arial" w:hAnsi="Arial" w:cs="Arial"/>
          <w:color w:val="828282"/>
          <w:sz w:val="18"/>
          <w:szCs w:val="18"/>
        </w:rPr>
        <w:t>lmuerzo</w:t>
      </w:r>
      <w:r w:rsidR="00F51169">
        <w:rPr>
          <w:rFonts w:ascii="Arial" w:hAnsi="Arial" w:cs="Arial"/>
          <w:color w:val="828282"/>
          <w:sz w:val="18"/>
          <w:szCs w:val="18"/>
        </w:rPr>
        <w:t>.</w:t>
      </w:r>
    </w:p>
    <w:p w14:paraId="5883B92C" w14:textId="36CCAA6B" w:rsidR="00A51283" w:rsidRPr="00A51283" w:rsidRDefault="00F51169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F</w:t>
      </w:r>
      <w:r w:rsidR="00A51283" w:rsidRPr="00A51283">
        <w:rPr>
          <w:rFonts w:ascii="Arial" w:hAnsi="Arial" w:cs="Arial"/>
          <w:color w:val="828282"/>
          <w:sz w:val="18"/>
          <w:szCs w:val="18"/>
        </w:rPr>
        <w:t>inalmente, emprenderán el regreso a la ciudad de Chachapoyas.</w:t>
      </w:r>
    </w:p>
    <w:p w14:paraId="4C96932F" w14:textId="78981D56" w:rsidR="00921472" w:rsidRDefault="00921472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44ADAF03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561FD8BC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1ECA8B8D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5B585F3C" w14:textId="77777777" w:rsidR="005C3280" w:rsidRPr="006D4289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Dificultad: Media / </w:t>
      </w:r>
      <w:r>
        <w:rPr>
          <w:rFonts w:ascii="Arial" w:hAnsi="Arial" w:cs="Arial"/>
          <w:color w:val="828282"/>
          <w:sz w:val="18"/>
          <w:szCs w:val="18"/>
        </w:rPr>
        <w:t>Baja</w:t>
      </w:r>
    </w:p>
    <w:p w14:paraId="741B7865" w14:textId="77777777" w:rsidR="006F6010" w:rsidRDefault="006F6010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D1C58C0" w14:textId="345D232E" w:rsidR="00A51283" w:rsidRPr="005C3280" w:rsidRDefault="00E8573C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5C3280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BA76C7" w:rsidRPr="005C3280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5C3280">
        <w:rPr>
          <w:rFonts w:ascii="Arial" w:hAnsi="Arial" w:cs="Arial"/>
          <w:b/>
          <w:bCs/>
          <w:color w:val="828282"/>
          <w:sz w:val="18"/>
          <w:szCs w:val="18"/>
        </w:rPr>
        <w:t xml:space="preserve">: Full Day </w:t>
      </w:r>
      <w:r w:rsidR="00C07365" w:rsidRPr="005C3280">
        <w:rPr>
          <w:rFonts w:ascii="Arial" w:hAnsi="Arial" w:cs="Arial"/>
          <w:b/>
          <w:bCs/>
          <w:color w:val="828282"/>
          <w:sz w:val="18"/>
          <w:szCs w:val="18"/>
        </w:rPr>
        <w:t>Sarcófagos</w:t>
      </w:r>
      <w:r w:rsidR="005C3280" w:rsidRPr="005C3280">
        <w:rPr>
          <w:rFonts w:ascii="Arial" w:hAnsi="Arial" w:cs="Arial"/>
          <w:b/>
          <w:bCs/>
          <w:color w:val="828282"/>
          <w:sz w:val="18"/>
          <w:szCs w:val="18"/>
        </w:rPr>
        <w:t xml:space="preserve"> de</w:t>
      </w:r>
      <w:r w:rsidR="005C3280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proofErr w:type="spellStart"/>
      <w:r w:rsidR="00801CA7">
        <w:rPr>
          <w:rFonts w:ascii="Arial" w:hAnsi="Arial" w:cs="Arial"/>
          <w:b/>
          <w:bCs/>
          <w:color w:val="828282"/>
          <w:sz w:val="18"/>
          <w:szCs w:val="18"/>
        </w:rPr>
        <w:t>Karajía</w:t>
      </w:r>
      <w:proofErr w:type="spellEnd"/>
      <w:r w:rsidR="005C3280">
        <w:rPr>
          <w:rFonts w:ascii="Arial" w:hAnsi="Arial" w:cs="Arial"/>
          <w:b/>
          <w:bCs/>
          <w:color w:val="828282"/>
          <w:sz w:val="18"/>
          <w:szCs w:val="18"/>
        </w:rPr>
        <w:t xml:space="preserve"> y Cavernas de </w:t>
      </w:r>
      <w:proofErr w:type="spellStart"/>
      <w:r w:rsidR="005C3280">
        <w:rPr>
          <w:rFonts w:ascii="Arial" w:hAnsi="Arial" w:cs="Arial"/>
          <w:b/>
          <w:bCs/>
          <w:color w:val="828282"/>
          <w:sz w:val="18"/>
          <w:szCs w:val="18"/>
        </w:rPr>
        <w:t>Quiocta</w:t>
      </w:r>
      <w:proofErr w:type="spellEnd"/>
    </w:p>
    <w:p w14:paraId="5BF6E820" w14:textId="71CAA44E" w:rsidR="00E8573C" w:rsidRDefault="00E8573C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</w:p>
    <w:p w14:paraId="034AAB66" w14:textId="230AF9D6" w:rsidR="00BA76C7" w:rsidRPr="00BA76C7" w:rsidRDefault="00BA76C7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BA76C7">
        <w:rPr>
          <w:rFonts w:ascii="Arial" w:hAnsi="Arial" w:cs="Arial"/>
          <w:color w:val="828282"/>
          <w:sz w:val="18"/>
          <w:szCs w:val="18"/>
        </w:rPr>
        <w:t>Después del desayuno, los visitantes serán trasladados en vehículo hacia la provincia de Luya, distrito de Lamud. A aproximadamente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Pr="00BA76C7">
        <w:rPr>
          <w:rFonts w:ascii="Arial" w:hAnsi="Arial" w:cs="Arial"/>
          <w:color w:val="828282"/>
          <w:sz w:val="18"/>
          <w:szCs w:val="18"/>
        </w:rPr>
        <w:t xml:space="preserve">20 minutos de recorrido, visitarán las Cavernas de </w:t>
      </w:r>
      <w:proofErr w:type="spellStart"/>
      <w:r w:rsidRPr="00BA76C7">
        <w:rPr>
          <w:rFonts w:ascii="Arial" w:hAnsi="Arial" w:cs="Arial"/>
          <w:color w:val="828282"/>
          <w:sz w:val="18"/>
          <w:szCs w:val="18"/>
        </w:rPr>
        <w:t>Quiocta</w:t>
      </w:r>
      <w:proofErr w:type="spellEnd"/>
      <w:r w:rsidRPr="00BA76C7">
        <w:rPr>
          <w:rFonts w:ascii="Arial" w:hAnsi="Arial" w:cs="Arial"/>
          <w:color w:val="828282"/>
          <w:sz w:val="18"/>
          <w:szCs w:val="18"/>
        </w:rPr>
        <w:t>, un atractivo turístico de origen natural donde podrán observar impresionantes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Pr="00BA76C7">
        <w:rPr>
          <w:rFonts w:ascii="Arial" w:hAnsi="Arial" w:cs="Arial"/>
          <w:color w:val="828282"/>
          <w:sz w:val="18"/>
          <w:szCs w:val="18"/>
        </w:rPr>
        <w:t>estalagmitas y estalactitas.</w:t>
      </w:r>
    </w:p>
    <w:p w14:paraId="6D0786FB" w14:textId="77777777" w:rsidR="006F6010" w:rsidRDefault="00BA76C7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BA76C7">
        <w:rPr>
          <w:rFonts w:ascii="Arial" w:hAnsi="Arial" w:cs="Arial"/>
          <w:color w:val="828282"/>
          <w:sz w:val="18"/>
          <w:szCs w:val="18"/>
        </w:rPr>
        <w:t xml:space="preserve">Al finalizar la visita, retornarán a Lamud para disfrutar del almuerzo. Posteriormente, continuarán el recorrido por los poblados de </w:t>
      </w:r>
      <w:proofErr w:type="spellStart"/>
      <w:r w:rsidRPr="00BA76C7">
        <w:rPr>
          <w:rFonts w:ascii="Arial" w:hAnsi="Arial" w:cs="Arial"/>
          <w:color w:val="828282"/>
          <w:sz w:val="18"/>
          <w:szCs w:val="18"/>
        </w:rPr>
        <w:t>Cohechán</w:t>
      </w:r>
      <w:proofErr w:type="spellEnd"/>
      <w:r w:rsidRPr="00BA76C7">
        <w:rPr>
          <w:rFonts w:ascii="Arial" w:hAnsi="Arial" w:cs="Arial"/>
          <w:color w:val="828282"/>
          <w:sz w:val="18"/>
          <w:szCs w:val="18"/>
        </w:rPr>
        <w:t xml:space="preserve"> y Cruz Pata. Desde este punto, realizarán una caminata de aproximadamente 20 minutos hasta llegar al sitio funerario de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C07365" w:rsidRPr="00BA76C7">
        <w:rPr>
          <w:rFonts w:ascii="Arial" w:hAnsi="Arial" w:cs="Arial"/>
          <w:color w:val="828282"/>
          <w:sz w:val="18"/>
          <w:szCs w:val="18"/>
        </w:rPr>
        <w:t>Karajía</w:t>
      </w:r>
      <w:proofErr w:type="spellEnd"/>
      <w:r w:rsidRPr="00BA76C7">
        <w:rPr>
          <w:rFonts w:ascii="Arial" w:hAnsi="Arial" w:cs="Arial"/>
          <w:color w:val="828282"/>
          <w:sz w:val="18"/>
          <w:szCs w:val="18"/>
        </w:rPr>
        <w:t>, donde se encuentran los famosos sarcófagos pertenecientes a la cultura preinca Chachapoya. Esta singular forma de entierro</w:t>
      </w:r>
      <w:r w:rsidR="006F6010">
        <w:rPr>
          <w:rFonts w:ascii="Arial" w:hAnsi="Arial" w:cs="Arial"/>
          <w:color w:val="828282"/>
          <w:sz w:val="18"/>
          <w:szCs w:val="18"/>
        </w:rPr>
        <w:t xml:space="preserve"> </w:t>
      </w:r>
      <w:r w:rsidRPr="00BA76C7">
        <w:rPr>
          <w:rFonts w:ascii="Arial" w:hAnsi="Arial" w:cs="Arial"/>
          <w:color w:val="828282"/>
          <w:sz w:val="18"/>
          <w:szCs w:val="18"/>
        </w:rPr>
        <w:t>es considerada única en el mundo por su diseño, ubicación y estado de conservación.</w:t>
      </w:r>
    </w:p>
    <w:p w14:paraId="6639E616" w14:textId="5361E127" w:rsidR="00BA76C7" w:rsidRPr="00BA76C7" w:rsidRDefault="00BA76C7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BA76C7">
        <w:rPr>
          <w:rFonts w:ascii="Arial" w:hAnsi="Arial" w:cs="Arial"/>
          <w:color w:val="828282"/>
          <w:sz w:val="18"/>
          <w:szCs w:val="18"/>
        </w:rPr>
        <w:lastRenderedPageBreak/>
        <w:t>Finalmente, retornarán a la ciudad de Chachapoyas.</w:t>
      </w:r>
    </w:p>
    <w:p w14:paraId="5D4F3DB0" w14:textId="77777777" w:rsidR="005C3280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0E1D7E61" w14:textId="70D95999" w:rsidR="00E8573C" w:rsidRDefault="00E8573C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2805D64B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02FAB8B1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678C0FAD" w14:textId="77777777" w:rsidR="005C3280" w:rsidRPr="006B3F5B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03425498" w14:textId="77777777" w:rsidR="005C3280" w:rsidRPr="006D4289" w:rsidRDefault="005C328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Dificultad: Media / </w:t>
      </w:r>
      <w:r>
        <w:rPr>
          <w:rFonts w:ascii="Arial" w:hAnsi="Arial" w:cs="Arial"/>
          <w:color w:val="828282"/>
          <w:sz w:val="18"/>
          <w:szCs w:val="18"/>
        </w:rPr>
        <w:t>Baja</w:t>
      </w:r>
    </w:p>
    <w:p w14:paraId="22218C9C" w14:textId="77777777" w:rsidR="006F6010" w:rsidRDefault="006F6010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4F98527F" w14:textId="54D24803" w:rsidR="00190666" w:rsidRPr="0087751D" w:rsidRDefault="00190666" w:rsidP="006F6010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8573C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921472">
        <w:rPr>
          <w:rFonts w:ascii="Arial" w:hAnsi="Arial" w:cs="Arial"/>
          <w:b/>
          <w:bCs/>
          <w:color w:val="828282"/>
          <w:sz w:val="18"/>
          <w:szCs w:val="18"/>
        </w:rPr>
        <w:t xml:space="preserve">Chachapoyas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C77E116" w14:textId="77777777" w:rsidR="00EA1269" w:rsidRPr="00EA1269" w:rsidRDefault="00EA1269" w:rsidP="006F6010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A1269">
        <w:rPr>
          <w:rFonts w:ascii="Arial" w:hAnsi="Arial" w:cs="Arial"/>
          <w:color w:val="828282"/>
          <w:sz w:val="18"/>
          <w:szCs w:val="18"/>
        </w:rPr>
        <w:t>A hora oportuna, traslado a la estación de bus para su retorno.</w:t>
      </w:r>
    </w:p>
    <w:p w14:paraId="5B79044B" w14:textId="4A8AA95C" w:rsidR="00192AC2" w:rsidRDefault="00192AC2" w:rsidP="00A51283">
      <w:pPr>
        <w:spacing w:line="276" w:lineRule="auto"/>
        <w:ind w:firstLine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0113C50C" w14:textId="77777777" w:rsidR="00BA76C7" w:rsidRDefault="00BA76C7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213172F4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0460FAFA" w14:textId="77777777" w:rsidR="00BA76C7" w:rsidRDefault="00BA76C7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3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BA76C7" w14:paraId="13CD2F1D" w14:textId="77777777" w:rsidTr="00BA76C7">
        <w:trPr>
          <w:trHeight w:val="300"/>
          <w:jc w:val="center"/>
        </w:trPr>
        <w:tc>
          <w:tcPr>
            <w:tcW w:w="32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721104E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A7B35D5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BA76C7" w14:paraId="1330C966" w14:textId="77777777" w:rsidTr="00BA76C7">
        <w:trPr>
          <w:trHeight w:val="300"/>
          <w:jc w:val="center"/>
        </w:trPr>
        <w:tc>
          <w:tcPr>
            <w:tcW w:w="32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52574" w14:textId="77777777" w:rsidR="00BA76C7" w:rsidRDefault="00BA76C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CABCA5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B3AFD4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D6D2018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752EE2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9458D0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61FECB2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1C826EE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8A5020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BA76C7" w14:paraId="02E02948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B0580" w14:textId="77777777" w:rsidR="00BA76C7" w:rsidRDefault="00BA76C7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EE93A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614DC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B1E00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ADD4A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819F4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876B7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F127C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50E3E" w14:textId="77777777" w:rsidR="00BA76C7" w:rsidRDefault="00BA76C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BA76C7" w14:paraId="24EE5337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C70F1" w14:textId="2F4B196E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del Rosario - Estándar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5B9D3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6B031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207C9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1AEDE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E566F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6CDB7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EED2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DAF63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</w:tr>
      <w:tr w:rsidR="00BA76C7" w14:paraId="1C181FD5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B2E2F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Puma Urco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7ACAB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81608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1F8C3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13219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BBA14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E78AC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80513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77248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tr w:rsidR="00BA76C7" w14:paraId="65CAA15D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9E29A" w14:textId="77777777" w:rsidR="00BA76C7" w:rsidRDefault="00BA76C7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71EF1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AB3BB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DDEE9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D392F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77DD1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2882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0A9B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69121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BA76C7" w14:paraId="268E2927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D48B9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Villa de Paris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BB62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8B571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56268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CE5A8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33402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2E4F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050AA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33391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BA76C7" w14:paraId="21EC2719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D9117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Posada del Arriero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3E39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EA15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FEA0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BEF2F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3943F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B1B3E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0D1A4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782A8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</w:tr>
      <w:tr w:rsidR="00BA76C7" w14:paraId="0EAA6645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A4A92B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Dordean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Casona Boutique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AD493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9F248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076C4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92967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612FB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31AB9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5087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A915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</w:tr>
      <w:tr w:rsidR="00BA76C7" w14:paraId="025B031D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21E2A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Casona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Monsante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BF478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E76CF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0CD86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95DEE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53B8A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A134C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30F3F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CA60C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BA76C7" w14:paraId="5312832F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32076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Xalca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 Asociado Casa Andina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14029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74807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2F3EF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4E4ED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F2E6A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47BF0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38186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CDBA1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</w:tr>
      <w:tr w:rsidR="00BA76C7" w14:paraId="088BD550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F77CC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Alta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78CC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DD99E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23C04" w14:textId="40E4E21A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55971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53BDD" w14:textId="3EE4C8A5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651C4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BCD28" w14:textId="37F7BB49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A423C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</w:tr>
      <w:tr w:rsidR="00BA76C7" w14:paraId="0F98A585" w14:textId="77777777" w:rsidTr="00BA76C7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058C" w14:textId="77777777" w:rsidR="00BA76C7" w:rsidRDefault="00BA76C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Media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8C17E" w14:textId="77777777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405DE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202AB" w14:textId="14DE10B5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D3EFA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5C32D" w14:textId="56C4E5C3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D84B2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85126" w14:textId="40D22A8D" w:rsidR="00BA76C7" w:rsidRDefault="00BA76C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4EDE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DBFED" w14:textId="77777777" w:rsidR="00BA76C7" w:rsidRDefault="00BA76C7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</w:tr>
    </w:tbl>
    <w:p w14:paraId="38077DE5" w14:textId="57E9C730" w:rsidR="00270266" w:rsidRPr="00270266" w:rsidRDefault="00270266" w:rsidP="008D63E3">
      <w:pPr>
        <w:rPr>
          <w:rFonts w:ascii="Arial" w:hAnsi="Arial" w:cs="Arial"/>
          <w:color w:val="828282"/>
          <w:sz w:val="18"/>
          <w:szCs w:val="18"/>
        </w:rPr>
      </w:pPr>
      <w:r w:rsidRPr="00270266">
        <w:rPr>
          <w:rFonts w:ascii="Arial" w:hAnsi="Arial" w:cs="Arial"/>
          <w:color w:val="828282"/>
          <w:sz w:val="18"/>
          <w:szCs w:val="18"/>
        </w:rPr>
        <w:t>*Suplemento por persona de traslado desde el aeropuerto Chachapoyas RT: 01 PAX $24 – 02 PAX $13 – 03 PAX $9.</w:t>
      </w:r>
    </w:p>
    <w:p w14:paraId="377D8ED3" w14:textId="77777777" w:rsidR="002664D4" w:rsidRDefault="002664D4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p w14:paraId="627ACEA2" w14:textId="77777777" w:rsidR="006F6010" w:rsidRPr="00163764" w:rsidRDefault="006F6010" w:rsidP="006F6010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163764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3C78FDAB" w14:textId="6D00E910" w:rsidR="006F6010" w:rsidRPr="006F6010" w:rsidRDefault="006F6010" w:rsidP="006F6010">
      <w:pPr>
        <w:rPr>
          <w:rFonts w:ascii="Arial" w:hAnsi="Arial" w:cs="Arial"/>
          <w:color w:val="828282"/>
          <w:sz w:val="18"/>
          <w:szCs w:val="18"/>
        </w:rPr>
      </w:pPr>
      <w:r w:rsidRPr="00D453A1">
        <w:rPr>
          <w:rFonts w:ascii="Arial" w:hAnsi="Arial" w:cs="Arial"/>
          <w:color w:val="828282"/>
          <w:sz w:val="18"/>
          <w:szCs w:val="18"/>
        </w:rPr>
        <w:t>N.A: Precio de noches adicionales.</w:t>
      </w:r>
    </w:p>
    <w:p w14:paraId="61DBD1F2" w14:textId="77777777" w:rsidR="006F6010" w:rsidRPr="0087751D" w:rsidRDefault="006F601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</w:p>
    <w:bookmarkEnd w:id="0"/>
    <w:p w14:paraId="65D928FD" w14:textId="6BDF9A7B" w:rsidR="00C15447" w:rsidRPr="006F6010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6F6010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6F601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6F6010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6F601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6F601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6F6010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6F6010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88E980" w:rsidR="00C15447" w:rsidRPr="006F601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541A99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el </w:t>
      </w:r>
      <w:r w:rsidR="00787A0C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6F601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2A473FDA" w14:textId="799DE494" w:rsidR="00541A99" w:rsidRPr="006F6010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3B152981" w14:textId="77777777" w:rsidR="001D771F" w:rsidRPr="006F6010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6F601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6F601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6F601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6F601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6F601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212D5651" w14:textId="36BC7A62" w:rsidR="00541A99" w:rsidRPr="006F6010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pt-PT"/>
        </w:rPr>
      </w:pPr>
      <w:r w:rsidRPr="006F6010">
        <w:rPr>
          <w:rFonts w:ascii="Arial" w:hAnsi="Arial" w:cs="Arial"/>
          <w:color w:val="818181"/>
          <w:sz w:val="18"/>
          <w:szCs w:val="18"/>
          <w:lang w:val="pt-PT"/>
        </w:rPr>
        <w:t>Fundo Achamaqui Temporada Alta: Temporada Alta: Mayo, Junio, Julio, Agosto</w:t>
      </w:r>
    </w:p>
    <w:p w14:paraId="06545DEE" w14:textId="36CF2934" w:rsidR="00541A99" w:rsidRPr="006F6010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6F6010">
        <w:rPr>
          <w:rFonts w:ascii="Arial" w:hAnsi="Arial" w:cs="Arial"/>
          <w:color w:val="818181"/>
          <w:sz w:val="18"/>
          <w:szCs w:val="18"/>
        </w:rPr>
        <w:t xml:space="preserve">Fundo </w:t>
      </w:r>
      <w:proofErr w:type="spellStart"/>
      <w:r w:rsidRPr="006F6010">
        <w:rPr>
          <w:rFonts w:ascii="Arial" w:hAnsi="Arial" w:cs="Arial"/>
          <w:color w:val="818181"/>
          <w:sz w:val="18"/>
          <w:szCs w:val="18"/>
        </w:rPr>
        <w:t>Achamaqui</w:t>
      </w:r>
      <w:proofErr w:type="spellEnd"/>
      <w:r w:rsidRPr="006F6010">
        <w:rPr>
          <w:rFonts w:ascii="Arial" w:hAnsi="Arial" w:cs="Arial"/>
          <w:color w:val="818181"/>
          <w:sz w:val="18"/>
          <w:szCs w:val="18"/>
        </w:rPr>
        <w:t xml:space="preserve"> Temporada Media: Temporada Media: Septiembre, </w:t>
      </w:r>
      <w:proofErr w:type="gramStart"/>
      <w:r w:rsidRPr="006F6010">
        <w:rPr>
          <w:rFonts w:ascii="Arial" w:hAnsi="Arial" w:cs="Arial"/>
          <w:color w:val="818181"/>
          <w:sz w:val="18"/>
          <w:szCs w:val="18"/>
        </w:rPr>
        <w:t>Octubre</w:t>
      </w:r>
      <w:proofErr w:type="gramEnd"/>
      <w:r w:rsidRPr="006F6010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6F6010">
        <w:rPr>
          <w:rFonts w:ascii="Arial" w:hAnsi="Arial" w:cs="Arial"/>
          <w:color w:val="818181"/>
          <w:sz w:val="18"/>
          <w:szCs w:val="18"/>
        </w:rPr>
        <w:t>Noviembre</w:t>
      </w:r>
      <w:proofErr w:type="gramEnd"/>
      <w:r w:rsidRPr="006F6010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6F6010">
        <w:rPr>
          <w:rFonts w:ascii="Arial" w:hAnsi="Arial" w:cs="Arial"/>
          <w:color w:val="818181"/>
          <w:sz w:val="18"/>
          <w:szCs w:val="18"/>
        </w:rPr>
        <w:t>Diciembre</w:t>
      </w:r>
      <w:proofErr w:type="gramEnd"/>
    </w:p>
    <w:p w14:paraId="715E34B5" w14:textId="77777777" w:rsidR="00C15447" w:rsidRPr="006F601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6F601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F6010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6F6010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6F6010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26BD9BE0" w14:textId="77777777" w:rsidR="00541A99" w:rsidRPr="006F6010" w:rsidRDefault="00541A99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6F6010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5311A3BC" w14:textId="77777777" w:rsidR="00541A99" w:rsidRPr="006F6010" w:rsidRDefault="00541A99" w:rsidP="00541A99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6F6010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 factores como condiciones meteorológicas, cortes de carreteras u otros de fuerza mayor.</w:t>
      </w:r>
    </w:p>
    <w:p w14:paraId="6E39071E" w14:textId="77777777" w:rsidR="00541A99" w:rsidRPr="006F6010" w:rsidRDefault="00541A9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F6010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4DF4C1AC" w14:textId="41F635AA" w:rsidR="00541A99" w:rsidRPr="006F6010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F6010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6F6010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6F6010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6F6010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6F601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F6010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6F601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F6010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6F601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F6010">
        <w:rPr>
          <w:rFonts w:ascii="Arial" w:hAnsi="Arial" w:cs="Arial"/>
          <w:color w:val="828282"/>
          <w:sz w:val="18"/>
          <w:szCs w:val="18"/>
        </w:rPr>
        <w:lastRenderedPageBreak/>
        <w:t>Cancelaciones dentro de los 30 días previos al inicio del viaje tendrán una penalidad del 100% del monto total.</w:t>
      </w:r>
    </w:p>
    <w:p w14:paraId="793BD990" w14:textId="77777777" w:rsidR="00377B9D" w:rsidRPr="006F601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F6010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6F601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F6010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6F6010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6F6010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6F6010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6F6010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6F6010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4352F5C5" w:rsidR="00377B9D" w:rsidRPr="006F6010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6F6010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8D63E3" w:rsidRPr="006F6010">
        <w:rPr>
          <w:rFonts w:ascii="Arial" w:eastAsia="Arial" w:hAnsi="Arial" w:cs="Arial"/>
          <w:color w:val="818181"/>
          <w:sz w:val="18"/>
          <w:szCs w:val="18"/>
        </w:rPr>
        <w:t>8</w:t>
      </w:r>
      <w:r w:rsidRPr="006F6010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6F6010" w:rsidSect="006F6010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FA8F" w14:textId="77777777" w:rsidR="00B14494" w:rsidRDefault="00B14494" w:rsidP="00780FEA">
      <w:r>
        <w:separator/>
      </w:r>
    </w:p>
  </w:endnote>
  <w:endnote w:type="continuationSeparator" w:id="0">
    <w:p w14:paraId="4FB47BE3" w14:textId="77777777" w:rsidR="00B14494" w:rsidRDefault="00B1449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8345" w14:textId="77777777" w:rsidR="00B14494" w:rsidRDefault="00B14494" w:rsidP="00780FEA">
      <w:r>
        <w:separator/>
      </w:r>
    </w:p>
  </w:footnote>
  <w:footnote w:type="continuationSeparator" w:id="0">
    <w:p w14:paraId="4433E509" w14:textId="77777777" w:rsidR="00B14494" w:rsidRDefault="00B1449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996497915" name="Imagen 1996497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80193208" name="Imagen 1080193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D1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5FB8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4D4"/>
    <w:rsid w:val="00266609"/>
    <w:rsid w:val="00266758"/>
    <w:rsid w:val="002669E7"/>
    <w:rsid w:val="002672CA"/>
    <w:rsid w:val="00267449"/>
    <w:rsid w:val="002675A9"/>
    <w:rsid w:val="002679DE"/>
    <w:rsid w:val="00270266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047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03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8E5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D4E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45D2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6DD6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568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1A99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193F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B9D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280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0F8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68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596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010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AFE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47B2A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5C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1CA7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3E3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147B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472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60B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48C4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189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1283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36F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837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494"/>
    <w:rsid w:val="00B146C9"/>
    <w:rsid w:val="00B14F90"/>
    <w:rsid w:val="00B15D33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4CA9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6C7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07365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3E43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0FF5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379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00E8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73C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69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4EDE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169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0D3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89D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2026-07-01T17:40:00Z</dcterms:created>
  <dcterms:modified xsi:type="dcterms:W3CDTF">2026-07-01T17:40:00Z</dcterms:modified>
</cp:coreProperties>
</file>